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44"/>
        </w:rPr>
      </w:pPr>
      <w:r>
        <w:rPr>
          <w:rFonts w:hint="eastAsia" w:ascii="Times New Roman" w:hAnsi="Times New Roman" w:eastAsia="宋体" w:cs="Times New Roman"/>
          <w:b/>
          <w:sz w:val="32"/>
          <w:szCs w:val="44"/>
        </w:rPr>
        <w:t>上海音乐学院研究生学业奖学金评</w:t>
      </w:r>
      <w:r>
        <w:rPr>
          <w:rFonts w:hint="eastAsia" w:ascii="Times New Roman" w:hAnsi="Times New Roman" w:eastAsia="宋体" w:cs="Times New Roman"/>
          <w:b/>
          <w:sz w:val="32"/>
          <w:szCs w:val="44"/>
          <w:lang w:val="en-US" w:eastAsia="zh-CN"/>
        </w:rPr>
        <w:t>审</w:t>
      </w:r>
      <w:r>
        <w:rPr>
          <w:rFonts w:ascii="Times New Roman" w:hAnsi="Times New Roman" w:eastAsia="宋体" w:cs="Times New Roman"/>
          <w:b/>
          <w:sz w:val="32"/>
          <w:szCs w:val="44"/>
        </w:rPr>
        <w:t>细则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一、申请范围与对象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</w:rPr>
        <w:t>纳入全国招生计划内的勤奋学习、潜心科研、勇于创新、积极进取的全日制研究生（有固定工资收入的除外，不含港澳台生、留学生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hint="eastAsia" w:ascii="Times New Roman" w:hAnsi="Times New Roman" w:cs="Times New Roman"/>
          <w:sz w:val="24"/>
          <w:lang w:val="en-US" w:eastAsia="zh-CN"/>
        </w:rPr>
        <w:t>超出基本修业年限生</w:t>
      </w:r>
      <w:r>
        <w:rPr>
          <w:rFonts w:hint="eastAsia" w:ascii="Times New Roman" w:hAnsi="Times New Roman" w:cs="Times New Roman"/>
          <w:sz w:val="24"/>
        </w:rPr>
        <w:t>）。</w:t>
      </w:r>
      <w:r>
        <w:rPr>
          <w:rFonts w:ascii="Times New Roman" w:hAnsi="Times New Roman" w:cs="Times New Roman"/>
          <w:sz w:val="24"/>
        </w:rPr>
        <w:t>包含非定向学术型硕士研究生、非定向专业型硕士研究生、非定向学术型博士研究生、定向非在职的少数民族高层次骨干人才计划研究生。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二、基本申请条件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具有中华人民共和国国籍；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热爱祖国，拥护中国共产党的领导；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遵守宪法和法律，遵守高等学校规章制度；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诚实守信，品学兼优，在读期间无抄袭、剽窃等学术不端行为和违法违纪行为；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积极参与科学研究和社会实践。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三、</w:t>
      </w:r>
      <w:r>
        <w:rPr>
          <w:rFonts w:ascii="Times New Roman" w:hAnsi="Times New Roman" w:cs="Times New Roman"/>
          <w:b/>
          <w:sz w:val="24"/>
          <w:szCs w:val="24"/>
        </w:rPr>
        <w:t>新生奖学金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申请对象</w:t>
      </w:r>
      <w:r>
        <w:rPr>
          <w:rFonts w:ascii="Times New Roman" w:hAnsi="Times New Roman" w:cs="Times New Roman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一年级全日制研究生新生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名额比例及奖励金额：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博士研究生。拟定总获奖名额为当年各系全日制博士研究生新生总数的75%，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具体奖励等级、金额、名额比例见下表。</w:t>
      </w:r>
    </w:p>
    <w:tbl>
      <w:tblPr>
        <w:tblStyle w:val="9"/>
        <w:tblpPr w:leftFromText="180" w:rightFromText="180" w:vertAnchor="text" w:horzAnchor="page" w:tblpX="2453" w:tblpY="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40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博士研究生新生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奖励等级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奖励金额（元）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名额比例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0"/>
                <w:szCs w:val="28"/>
              </w:rPr>
              <w:t>（新生总数占比）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10000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二等奖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8000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三等奖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6000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四等奖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4000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硕士研究生。硕士研究生分为推免生和非推免生。其中，推免生获奖名额为当年各系全日制推免新生总数的100%，非推免生获奖名额为当年各系全日制非推免新生总数的75%。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具体奖励等级、金额、名额比例见下表。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1276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硕士研究生新生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推免生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非推免生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奖励等级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奖励金额（元）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名额比例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16"/>
                <w:szCs w:val="24"/>
              </w:rPr>
            </w:pPr>
            <w:r>
              <w:rPr>
                <w:rFonts w:ascii="Times New Roman" w:hAnsi="Times New Roman" w:eastAsia="黑体" w:cs="Times New Roman"/>
                <w:sz w:val="20"/>
                <w:szCs w:val="24"/>
              </w:rPr>
              <w:t>（</w:t>
            </w:r>
            <w:r>
              <w:rPr>
                <w:rFonts w:ascii="Times New Roman" w:hAnsi="Times New Roman" w:eastAsia="黑体" w:cs="Times New Roman"/>
                <w:sz w:val="16"/>
                <w:szCs w:val="24"/>
              </w:rPr>
              <w:t>推免新生总数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16"/>
                <w:szCs w:val="24"/>
              </w:rPr>
            </w:pPr>
            <w:r>
              <w:rPr>
                <w:rFonts w:ascii="Times New Roman" w:hAnsi="Times New Roman" w:eastAsia="黑体" w:cs="Times New Roman"/>
                <w:sz w:val="16"/>
                <w:szCs w:val="24"/>
              </w:rPr>
              <w:t>占比）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奖励等级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奖励金额（元）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名额比例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16"/>
                <w:szCs w:val="24"/>
              </w:rPr>
            </w:pPr>
            <w:r>
              <w:rPr>
                <w:rFonts w:ascii="Times New Roman" w:hAnsi="Times New Roman" w:eastAsia="黑体" w:cs="Times New Roman"/>
                <w:sz w:val="20"/>
                <w:szCs w:val="24"/>
              </w:rPr>
              <w:t>（</w:t>
            </w:r>
            <w:r>
              <w:rPr>
                <w:rFonts w:ascii="Times New Roman" w:hAnsi="Times New Roman" w:eastAsia="黑体" w:cs="Times New Roman"/>
                <w:sz w:val="16"/>
                <w:szCs w:val="24"/>
              </w:rPr>
              <w:t>非推免新生总数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18"/>
                <w:szCs w:val="24"/>
              </w:rPr>
            </w:pPr>
            <w:r>
              <w:rPr>
                <w:rFonts w:ascii="Times New Roman" w:hAnsi="Times New Roman" w:eastAsia="黑体" w:cs="Times New Roman"/>
                <w:sz w:val="16"/>
                <w:szCs w:val="24"/>
              </w:rPr>
              <w:t>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8000 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12000（专业型）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8000（学术型）12000（专业型）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6400（学术型）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9000（专业型）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4800（学术型）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7000（专业型）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四等奖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3200（学术型）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6000（专业型）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30%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评审程序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  <w:lang w:eastAsia="zh-Hans"/>
        </w:rPr>
      </w:pPr>
      <w:r>
        <w:rPr>
          <w:rFonts w:ascii="Times New Roman" w:hAnsi="Times New Roman" w:cs="Times New Roman"/>
          <w:sz w:val="24"/>
          <w:szCs w:val="24"/>
        </w:rPr>
        <w:t>1）每学年由党委研究生工作部按比例下达名额至各系（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具体名额分配详见附件</w:t>
      </w:r>
      <w:r>
        <w:rPr>
          <w:rFonts w:ascii="Times New Roman" w:hAnsi="Times New Roman" w:cs="Times New Roman"/>
          <w:sz w:val="24"/>
          <w:szCs w:val="24"/>
          <w:lang w:eastAsia="zh-Hans"/>
        </w:rPr>
        <w:t>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2）非推免研究生新生（即博士研究生、非推免硕士研究生），由各系根据研究生入学考试成绩（初试和复试）相加后的总分进行系内排序（由高到低）；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3）排序后的成绩提交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院</w:t>
      </w:r>
      <w:r>
        <w:rPr>
          <w:rFonts w:ascii="Times New Roman" w:hAnsi="Times New Roman" w:cs="Times New Roman"/>
          <w:sz w:val="24"/>
          <w:szCs w:val="24"/>
        </w:rPr>
        <w:t>系评审委员会进行初评。初评结果在系内进行5个工作日的公示；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4）公示无异议后，提交研究生学业奖学金评审领导小组审定，审定结果在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校</w:t>
      </w:r>
      <w:r>
        <w:rPr>
          <w:rFonts w:ascii="Times New Roman" w:hAnsi="Times New Roman" w:cs="Times New Roman"/>
          <w:sz w:val="24"/>
          <w:szCs w:val="24"/>
        </w:rPr>
        <w:t>内进行5个工作日的公示；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5）公示结束后，研究生获得新生奖学金情况记入学生学籍档案。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6）奖学金评定坚持公平、公正、公开的原则，评审委员会会议实到人数为应到人数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三</w:t>
      </w:r>
      <w:r>
        <w:rPr>
          <w:rFonts w:ascii="Times New Roman" w:hAnsi="Times New Roman" w:cs="Times New Roman"/>
          <w:sz w:val="24"/>
          <w:szCs w:val="24"/>
        </w:rPr>
        <w:t>分之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二</w:t>
      </w:r>
      <w:r>
        <w:rPr>
          <w:rFonts w:ascii="Times New Roman" w:hAnsi="Times New Roman" w:cs="Times New Roman"/>
          <w:sz w:val="24"/>
          <w:szCs w:val="24"/>
        </w:rPr>
        <w:t>以上、书面表决结果为实到人数三分之二以上为通过。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四、学业综合</w:t>
      </w:r>
      <w:r>
        <w:rPr>
          <w:rFonts w:ascii="Times New Roman" w:hAnsi="Times New Roman" w:cs="Times New Roman"/>
          <w:b/>
          <w:sz w:val="24"/>
          <w:szCs w:val="24"/>
        </w:rPr>
        <w:t>奖学金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申请对象：</w:t>
      </w:r>
      <w:r>
        <w:rPr>
          <w:rFonts w:ascii="Times New Roman" w:hAnsi="Times New Roman" w:cs="Times New Roman"/>
          <w:sz w:val="24"/>
          <w:szCs w:val="24"/>
        </w:rPr>
        <w:t>二、三年级全日制研究生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名额比例及奖励金额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拟定总获奖名额为当年各系可参评的全日制研究生总数的75%。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具体奖励等级、金额、名额比例见下表。</w:t>
      </w:r>
    </w:p>
    <w:tbl>
      <w:tblPr>
        <w:tblStyle w:val="9"/>
        <w:tblpPr w:leftFromText="180" w:rightFromText="180" w:vertAnchor="text" w:horzAnchor="page" w:tblpXSpec="center" w:tblpY="4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奖励等级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奖励金额（元）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  <w:szCs w:val="28"/>
              </w:rPr>
              <w:t>名额比例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0"/>
                <w:szCs w:val="28"/>
              </w:rPr>
              <w:t>（可参评博士总数占比）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10000</w:t>
            </w:r>
          </w:p>
        </w:tc>
        <w:tc>
          <w:tcPr>
            <w:tcW w:w="329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二等奖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8000</w:t>
            </w:r>
          </w:p>
        </w:tc>
        <w:tc>
          <w:tcPr>
            <w:tcW w:w="329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三等奖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6000</w:t>
            </w:r>
          </w:p>
        </w:tc>
        <w:tc>
          <w:tcPr>
            <w:tcW w:w="329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四等奖</w:t>
            </w:r>
          </w:p>
        </w:tc>
        <w:tc>
          <w:tcPr>
            <w:tcW w:w="29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4000</w:t>
            </w:r>
          </w:p>
        </w:tc>
        <w:tc>
          <w:tcPr>
            <w:tcW w:w="329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4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奖励等级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奖励金额（元）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名额比例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16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（</w:t>
            </w:r>
            <w:r>
              <w:rPr>
                <w:rFonts w:ascii="Times New Roman" w:hAnsi="Times New Roman" w:eastAsia="黑体" w:cs="Times New Roman"/>
                <w:sz w:val="20"/>
                <w:szCs w:val="24"/>
              </w:rPr>
              <w:t>可参评硕士总数占比）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8000（学术型）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12000（专业型）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二等奖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6400（学术型）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9000（专业型）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三等奖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4800（学术型）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7000（专业型）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四等奖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3200（学术型）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0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0"/>
                <w:szCs w:val="24"/>
              </w:rPr>
              <w:t>6000（专业型）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</w:rPr>
      </w:pPr>
    </w:p>
    <w:tbl>
      <w:tblPr>
        <w:tblStyle w:val="9"/>
        <w:tblpPr w:leftFromText="180" w:rightFromText="180" w:vertAnchor="text" w:horzAnchor="page" w:tblpXSpec="center" w:tblpY="9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690"/>
        <w:gridCol w:w="27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spacing w:line="360" w:lineRule="auto"/>
              <w:ind w:firstLine="960" w:firstLineChars="4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</wp:posOffset>
                      </wp:positionV>
                      <wp:extent cx="1352550" cy="571500"/>
                      <wp:effectExtent l="2540" t="5715" r="16510" b="698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1.15pt;height:45pt;width:106.5pt;z-index:251659264;mso-width-relative:page;mso-height-relative:page;" filled="f" stroked="t" coordsize="21600,21600" o:gfxdata="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PNzl1QAAAAcBAAAPAAAAAAAAAAEAIAAAACIAAABkcnMvZG93bnJldi54bWxQSwECFAAU&#10;AAAACACHTuJAXTl4FfQBAADYAwAADgAAAAAAAAABACAAAAAkAQAAZHJzL2Uyb0RvYy54bWxQSwUG&#10;AAAAAAYABgBZAQAAi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成绩类别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奖励等级</w:t>
            </w:r>
          </w:p>
        </w:tc>
        <w:tc>
          <w:tcPr>
            <w:tcW w:w="169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参评学年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主课成绩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1"/>
                <w:szCs w:val="22"/>
              </w:rPr>
            </w:pPr>
            <w:r>
              <w:rPr>
                <w:rFonts w:ascii="Times New Roman" w:hAnsi="Times New Roman" w:eastAsia="黑体" w:cs="Times New Roman"/>
                <w:sz w:val="21"/>
                <w:szCs w:val="22"/>
              </w:rPr>
              <w:t>自选参评</w:t>
            </w:r>
            <w:r>
              <w:rPr>
                <w:rFonts w:hint="eastAsia" w:ascii="Times New Roman" w:hAnsi="Times New Roman" w:eastAsia="黑体" w:cs="Times New Roman"/>
                <w:sz w:val="21"/>
                <w:szCs w:val="22"/>
              </w:rPr>
              <w:t>课</w:t>
            </w:r>
            <w:r>
              <w:rPr>
                <w:rFonts w:ascii="Times New Roman" w:hAnsi="Times New Roman" w:eastAsia="黑体" w:cs="Times New Roman"/>
                <w:sz w:val="21"/>
                <w:szCs w:val="22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0"/>
                <w:szCs w:val="21"/>
                <w:lang w:val="en-US" w:eastAsia="zh-CN"/>
              </w:rPr>
              <w:t>专业必修/方向必修/选修）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1"/>
                <w:szCs w:val="22"/>
              </w:rPr>
              <w:t>平均成绩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参评学年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综合测评成绩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一等奖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90分（含）以上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二等奖</w:t>
            </w:r>
          </w:p>
        </w:tc>
        <w:tc>
          <w:tcPr>
            <w:tcW w:w="439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85分（含）以上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85分（含）以上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三等奖</w:t>
            </w:r>
          </w:p>
        </w:tc>
        <w:tc>
          <w:tcPr>
            <w:tcW w:w="439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80分（含）以上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四等奖</w:t>
            </w:r>
          </w:p>
        </w:tc>
        <w:tc>
          <w:tcPr>
            <w:tcW w:w="4390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80分（含）以上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75分（含）以上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</w:pP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注：</w:t>
            </w:r>
          </w:p>
          <w:p>
            <w:pPr>
              <w:spacing w:line="360" w:lineRule="auto"/>
              <w:jc w:val="left"/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CN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已修（每门）课程需达到60分（含）以上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default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CN"/>
              </w:rPr>
              <w:t>.课程成绩以研究生部培养办数据为准。已参评的课程不能再次申请；</w:t>
            </w:r>
          </w:p>
        </w:tc>
      </w:tr>
    </w:tbl>
    <w:p>
      <w:pPr>
        <w:spacing w:line="360" w:lineRule="auto"/>
        <w:ind w:firstLine="480" w:firstLineChars="200"/>
        <w:rPr>
          <w:rStyle w:val="12"/>
        </w:rPr>
      </w:pPr>
      <w:r>
        <w:rPr>
          <w:rFonts w:ascii="Times New Roman" w:hAnsi="Times New Roman" w:cs="Times New Roman"/>
          <w:sz w:val="24"/>
          <w:szCs w:val="24"/>
        </w:rPr>
        <w:t>3.参评成绩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评审程序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1）每年秋季学期，由研究生个人向所在系提出申请并填写申请表格、上报相关材料。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2）各二级院系对申请者提交的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课程</w:t>
      </w:r>
      <w:r>
        <w:rPr>
          <w:rFonts w:ascii="Times New Roman" w:hAnsi="Times New Roman" w:cs="Times New Roman"/>
          <w:sz w:val="24"/>
          <w:szCs w:val="24"/>
        </w:rPr>
        <w:t>成绩、科研成果/比赛获奖、综合测评进行审核。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具体评定指标及测算比例见下表：</w:t>
      </w:r>
    </w:p>
    <w:tbl>
      <w:tblPr>
        <w:tblStyle w:val="9"/>
        <w:tblpPr w:leftFromText="180" w:rightFromText="180" w:vertAnchor="text" w:horzAnchor="page" w:tblpXSpec="center" w:tblpY="180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  <w:lang w:eastAsia="zh-Hans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申请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eastAsia="zh-Hans"/>
              </w:rPr>
              <w:t>年级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eastAsia="zh-Hans"/>
              </w:rPr>
              <w:t>课程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成绩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科研成果/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比赛获奖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综合测评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二年级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50%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20%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三年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级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40%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30%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4"/>
          <w:szCs w:val="24"/>
          <w:lang w:eastAsia="zh-Hans"/>
        </w:rPr>
      </w:pPr>
    </w:p>
    <w:tbl>
      <w:tblPr>
        <w:tblStyle w:val="9"/>
        <w:tblpPr w:leftFromText="180" w:rightFromText="180" w:vertAnchor="text" w:horzAnchor="page" w:tblpX="1753" w:tblpY="335"/>
        <w:tblOverlap w:val="never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10"/>
        <w:gridCol w:w="1486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课程成绩</w:t>
            </w:r>
          </w:p>
        </w:tc>
        <w:tc>
          <w:tcPr>
            <w:tcW w:w="71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（上一学年主课成绩+自选课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val="en-US" w:eastAsia="zh-CN"/>
              </w:rPr>
              <w:t>程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成绩</w:t>
            </w:r>
            <w:r>
              <w:rPr>
                <w:rFonts w:hint="default" w:ascii="Times New Roman" w:hAnsi="Times New Roman" w:eastAsia="等线" w:cs="Times New Roman"/>
                <w:sz w:val="20"/>
                <w:szCs w:val="21"/>
              </w:rPr>
              <w:t>（专业必修/方向必修/选修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）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等线" w:cs="Times New Roman"/>
                <w:sz w:val="22"/>
                <w:szCs w:val="24"/>
              </w:rPr>
              <w:t>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Hans"/>
              </w:rPr>
              <w:t>科研成果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  <w:t>论文</w:t>
            </w:r>
          </w:p>
        </w:tc>
        <w:tc>
          <w:tcPr>
            <w:tcW w:w="6082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核心期刊（南大版）50分</w:t>
            </w:r>
          </w:p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非核心期刊30分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  <w:t>课题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国家级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作为负责人立项60分、</w:t>
            </w:r>
          </w:p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作为负责人立项并结题80分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省市级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作为负责人立项40分、</w:t>
            </w:r>
          </w:p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作为负责人立项并结题60分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院、部内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作为负责人立项30分、</w:t>
            </w:r>
          </w:p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作为负责人立项并结题50分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比赛获奖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国际重大比赛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一等奖80分、二等奖60分、三等奖50分、优秀奖及单项奖30分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  <w:lang w:eastAsia="zh-Hans"/>
              </w:rPr>
              <w:t>国内重大比赛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国家级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一等奖80分、二等奖60分、三等奖40分、优秀奖及单项奖30分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省市级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一等奖60分、二等奖40分、三等奖30分、优秀奖及单项奖20分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院、部内</w:t>
            </w:r>
          </w:p>
        </w:tc>
        <w:tc>
          <w:tcPr>
            <w:tcW w:w="4596" w:type="dxa"/>
          </w:tcPr>
          <w:p>
            <w:pPr>
              <w:spacing w:line="360" w:lineRule="auto"/>
              <w:rPr>
                <w:rFonts w:hint="default" w:ascii="Times New Roman" w:hAnsi="Times New Roman" w:eastAsia="等线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sz w:val="22"/>
                <w:szCs w:val="24"/>
                <w:lang w:eastAsia="zh-Hans"/>
              </w:rPr>
              <w:t>一等奖30分、二等奖20分、三等奖15分、优秀奖及单项奖10分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 Regular" w:hAnsi="Times New Roman Regular" w:eastAsia="宋体" w:cs="Times New Roman Regular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综合测评</w:t>
            </w:r>
          </w:p>
        </w:tc>
        <w:tc>
          <w:tcPr>
            <w:tcW w:w="719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等线" w:hAnsi="等线" w:eastAsia="等线" w:cs="等线"/>
                <w:sz w:val="22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4"/>
              </w:rPr>
              <w:t>上一学年综合测评分数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注：</w:t>
            </w:r>
          </w:p>
          <w:p>
            <w:pPr>
              <w:spacing w:line="360" w:lineRule="auto"/>
              <w:jc w:val="left"/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论文成果须提交期刊首、末页及论文复印件、获奖须提交获奖证书复印件；课题成果须提交认定书及相关证明材料；获奖成果的认定最终以二级院系评审委员会认定为准；</w:t>
            </w:r>
          </w:p>
          <w:p>
            <w:pPr>
              <w:spacing w:line="360" w:lineRule="auto"/>
              <w:jc w:val="left"/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以课题作为科研成果的，同一课题在不同学年进行的立项和结题，不能重复加分。如某研究生作为某省级科研课题的负责人，第一年已使用该课题“立项”加分40，则第二年该课题“结题”时只加分差（60-40）=20；如第一年没有使用该课题加分，则该课题可以“作为负责人立项并结题”一并加60分；</w:t>
            </w:r>
          </w:p>
          <w:p>
            <w:pPr>
              <w:spacing w:line="360" w:lineRule="auto"/>
              <w:jc w:val="left"/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科研成果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/比赛获奖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（含论文、课题、获奖）、综合测评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分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，各项累计超过100分的，按100分计入；申请区间为2022-2023学年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（9月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日-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8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月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31</w:t>
            </w: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日）</w:t>
            </w:r>
            <w:r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期间：</w:t>
            </w:r>
          </w:p>
          <w:p>
            <w:pPr>
              <w:spacing w:line="360" w:lineRule="auto"/>
              <w:jc w:val="left"/>
              <w:rPr>
                <w:rFonts w:ascii="Times New Roman Regular" w:hAnsi="Times New Roman Regular" w:eastAsia="黑体" w:cs="Times New Roman Regular"/>
                <w:sz w:val="20"/>
                <w:szCs w:val="20"/>
                <w:lang w:eastAsia="zh-Hans"/>
              </w:rPr>
            </w:pPr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val="en-US" w:eastAsia="zh-CN"/>
              </w:rPr>
              <w:t>4.综合测评认定：</w:t>
            </w:r>
            <w:bookmarkStart w:id="0" w:name="_GoBack"/>
            <w:bookmarkEnd w:id="0"/>
            <w:r>
              <w:rPr>
                <w:rFonts w:hint="eastAsia" w:ascii="Times New Roman Regular" w:hAnsi="Times New Roman Regular" w:eastAsia="黑体" w:cs="Times New Roman Regular"/>
                <w:sz w:val="20"/>
                <w:szCs w:val="20"/>
                <w:lang w:eastAsia="zh-Hans"/>
              </w:rPr>
              <w:t>校际交流在境外学习的研究生可参考国外参与活动情况酌情考虑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3）各二级院系对申请材料进行审核与汇总后，提交本院系评审委员会进行初评，初评结果在系内进行5个工作日的公示；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4）公示无异议后，提交研究生学业奖学金评审领导小组审定，审定结果在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校</w:t>
      </w:r>
      <w:r>
        <w:rPr>
          <w:rFonts w:ascii="Times New Roman" w:hAnsi="Times New Roman" w:cs="Times New Roman"/>
          <w:sz w:val="24"/>
          <w:szCs w:val="24"/>
        </w:rPr>
        <w:t>内进行5个工作日的公示；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5）公示结束后，研究生学业综合奖学金情况记入学生学籍档案；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6）奖学金评定坚持公平、公正、公开的原则，系评审委员会会议实到人数为应到人数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三</w:t>
      </w:r>
      <w:r>
        <w:rPr>
          <w:rFonts w:ascii="Times New Roman" w:hAnsi="Times New Roman" w:cs="Times New Roman"/>
          <w:sz w:val="24"/>
          <w:szCs w:val="24"/>
        </w:rPr>
        <w:t>分之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二</w:t>
      </w:r>
      <w:r>
        <w:rPr>
          <w:rFonts w:ascii="Times New Roman" w:hAnsi="Times New Roman" w:cs="Times New Roman"/>
          <w:sz w:val="24"/>
          <w:szCs w:val="24"/>
        </w:rPr>
        <w:t>以上、书面表决结果为实到人数三分之二以上为通过。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另：</w:t>
      </w:r>
    </w:p>
    <w:p>
      <w:pPr>
        <w:spacing w:line="360" w:lineRule="auto"/>
        <w:rPr>
          <w:rStyle w:val="12"/>
          <w:highlight w:val="yellow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sz w:val="24"/>
          <w:szCs w:val="24"/>
        </w:rPr>
        <w:t>参与退役士兵计划学生，在原评定等级基础上上调一级，不占上一级等级名额，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则</w:t>
      </w:r>
      <w:r>
        <w:rPr>
          <w:rFonts w:hint="eastAsia" w:ascii="Times New Roman" w:hAnsi="Times New Roman" w:cs="Times New Roman"/>
          <w:sz w:val="24"/>
          <w:szCs w:val="24"/>
        </w:rPr>
        <w:t>原等级名额相应减少；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sz w:val="24"/>
          <w:szCs w:val="24"/>
        </w:rPr>
        <w:t>如遇学生成绩一致，但满足该等级的名额不足，可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相应</w:t>
      </w:r>
      <w:r>
        <w:rPr>
          <w:rFonts w:hint="eastAsia" w:ascii="Times New Roman" w:hAnsi="Times New Roman" w:cs="Times New Roman"/>
          <w:sz w:val="24"/>
          <w:szCs w:val="24"/>
        </w:rPr>
        <w:t>增加等级名额，</w:t>
      </w:r>
      <w:r>
        <w:rPr>
          <w:rFonts w:hint="eastAsia" w:ascii="Times New Roman" w:hAnsi="Times New Roman" w:cs="Times New Roman"/>
          <w:sz w:val="24"/>
          <w:szCs w:val="24"/>
          <w:lang w:eastAsia="zh-Hans"/>
        </w:rPr>
        <w:t>则</w:t>
      </w:r>
      <w:r>
        <w:rPr>
          <w:rFonts w:hint="eastAsia" w:ascii="Times New Roman" w:hAnsi="Times New Roman" w:cs="Times New Roman"/>
          <w:sz w:val="24"/>
          <w:szCs w:val="24"/>
        </w:rPr>
        <w:t>原等级名额相应减少。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20542"/>
    <w:multiLevelType w:val="singleLevel"/>
    <w:tmpl w:val="BBC2054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WQ5NTg3YWRiOWRmNzk0MjUzMGY5NjE5OWNmNGIifQ=="/>
  </w:docVars>
  <w:rsids>
    <w:rsidRoot w:val="00A5048B"/>
    <w:rsid w:val="0003340E"/>
    <w:rsid w:val="000353F1"/>
    <w:rsid w:val="00044936"/>
    <w:rsid w:val="00045B25"/>
    <w:rsid w:val="00094408"/>
    <w:rsid w:val="000A36D9"/>
    <w:rsid w:val="000B2059"/>
    <w:rsid w:val="000D1D47"/>
    <w:rsid w:val="000F7C51"/>
    <w:rsid w:val="00100DFC"/>
    <w:rsid w:val="00104156"/>
    <w:rsid w:val="001529DE"/>
    <w:rsid w:val="001A23ED"/>
    <w:rsid w:val="001A78E5"/>
    <w:rsid w:val="001C785F"/>
    <w:rsid w:val="001D3E75"/>
    <w:rsid w:val="001D4C76"/>
    <w:rsid w:val="0020368A"/>
    <w:rsid w:val="00204386"/>
    <w:rsid w:val="00212069"/>
    <w:rsid w:val="00212F9C"/>
    <w:rsid w:val="00221005"/>
    <w:rsid w:val="002422B5"/>
    <w:rsid w:val="00270F36"/>
    <w:rsid w:val="00282B37"/>
    <w:rsid w:val="00285965"/>
    <w:rsid w:val="002942B6"/>
    <w:rsid w:val="002A04EC"/>
    <w:rsid w:val="002A6848"/>
    <w:rsid w:val="002A6982"/>
    <w:rsid w:val="002B7B09"/>
    <w:rsid w:val="002C12FC"/>
    <w:rsid w:val="00323876"/>
    <w:rsid w:val="00333409"/>
    <w:rsid w:val="00355B3D"/>
    <w:rsid w:val="00356D99"/>
    <w:rsid w:val="003A2343"/>
    <w:rsid w:val="003C19E4"/>
    <w:rsid w:val="003E5DEE"/>
    <w:rsid w:val="00430BC9"/>
    <w:rsid w:val="00431F87"/>
    <w:rsid w:val="0044701F"/>
    <w:rsid w:val="00447C70"/>
    <w:rsid w:val="0047221B"/>
    <w:rsid w:val="00472EAC"/>
    <w:rsid w:val="004873C9"/>
    <w:rsid w:val="004B0B92"/>
    <w:rsid w:val="004D1021"/>
    <w:rsid w:val="004D7CE0"/>
    <w:rsid w:val="00506D2F"/>
    <w:rsid w:val="0051616A"/>
    <w:rsid w:val="00550CE8"/>
    <w:rsid w:val="00552D70"/>
    <w:rsid w:val="005A4193"/>
    <w:rsid w:val="005B19F0"/>
    <w:rsid w:val="005C1402"/>
    <w:rsid w:val="0060656C"/>
    <w:rsid w:val="00613E9C"/>
    <w:rsid w:val="00614410"/>
    <w:rsid w:val="00616FF1"/>
    <w:rsid w:val="006A451D"/>
    <w:rsid w:val="006D5333"/>
    <w:rsid w:val="006F1359"/>
    <w:rsid w:val="006F315D"/>
    <w:rsid w:val="00713582"/>
    <w:rsid w:val="007136A9"/>
    <w:rsid w:val="00731E83"/>
    <w:rsid w:val="0074124F"/>
    <w:rsid w:val="0077050D"/>
    <w:rsid w:val="007A439A"/>
    <w:rsid w:val="007B70C2"/>
    <w:rsid w:val="007C0F2D"/>
    <w:rsid w:val="007D35CE"/>
    <w:rsid w:val="007F4D71"/>
    <w:rsid w:val="00801963"/>
    <w:rsid w:val="008165B0"/>
    <w:rsid w:val="00837487"/>
    <w:rsid w:val="00846E1D"/>
    <w:rsid w:val="00875F62"/>
    <w:rsid w:val="0087603B"/>
    <w:rsid w:val="0089240C"/>
    <w:rsid w:val="008A731A"/>
    <w:rsid w:val="008B15B9"/>
    <w:rsid w:val="008C59F1"/>
    <w:rsid w:val="0091418A"/>
    <w:rsid w:val="00947C3F"/>
    <w:rsid w:val="009729F8"/>
    <w:rsid w:val="009907EB"/>
    <w:rsid w:val="009B3420"/>
    <w:rsid w:val="00A00ABF"/>
    <w:rsid w:val="00A234D1"/>
    <w:rsid w:val="00A346FD"/>
    <w:rsid w:val="00A5048B"/>
    <w:rsid w:val="00A812BC"/>
    <w:rsid w:val="00A93BF5"/>
    <w:rsid w:val="00B22F2A"/>
    <w:rsid w:val="00B37E0B"/>
    <w:rsid w:val="00B95E98"/>
    <w:rsid w:val="00B97416"/>
    <w:rsid w:val="00BA5157"/>
    <w:rsid w:val="00BD4AEE"/>
    <w:rsid w:val="00BD4E48"/>
    <w:rsid w:val="00BF203E"/>
    <w:rsid w:val="00C06FF4"/>
    <w:rsid w:val="00C1264F"/>
    <w:rsid w:val="00C26CF0"/>
    <w:rsid w:val="00C33978"/>
    <w:rsid w:val="00C6437C"/>
    <w:rsid w:val="00C66974"/>
    <w:rsid w:val="00C66981"/>
    <w:rsid w:val="00C8238C"/>
    <w:rsid w:val="00CB0DCF"/>
    <w:rsid w:val="00CB4A23"/>
    <w:rsid w:val="00CC72F1"/>
    <w:rsid w:val="00CF04A0"/>
    <w:rsid w:val="00CF3F2A"/>
    <w:rsid w:val="00D00655"/>
    <w:rsid w:val="00D272B8"/>
    <w:rsid w:val="00D42BAE"/>
    <w:rsid w:val="00D43988"/>
    <w:rsid w:val="00D92A2F"/>
    <w:rsid w:val="00DB3197"/>
    <w:rsid w:val="00DB42F7"/>
    <w:rsid w:val="00DB5DD9"/>
    <w:rsid w:val="00DB7099"/>
    <w:rsid w:val="00DC26EA"/>
    <w:rsid w:val="00DD6BBD"/>
    <w:rsid w:val="00DE31C3"/>
    <w:rsid w:val="00E04A82"/>
    <w:rsid w:val="00E10F91"/>
    <w:rsid w:val="00E22A3B"/>
    <w:rsid w:val="00E62D2F"/>
    <w:rsid w:val="00E642FF"/>
    <w:rsid w:val="00E66295"/>
    <w:rsid w:val="00EA37B1"/>
    <w:rsid w:val="00F100EF"/>
    <w:rsid w:val="00F14FF5"/>
    <w:rsid w:val="00F64F53"/>
    <w:rsid w:val="00F748EC"/>
    <w:rsid w:val="00FA3E6E"/>
    <w:rsid w:val="00FB3A89"/>
    <w:rsid w:val="00FC1AAD"/>
    <w:rsid w:val="00FD3A77"/>
    <w:rsid w:val="0459638F"/>
    <w:rsid w:val="073A744C"/>
    <w:rsid w:val="08123F24"/>
    <w:rsid w:val="0C201306"/>
    <w:rsid w:val="0C5A77EA"/>
    <w:rsid w:val="1145536B"/>
    <w:rsid w:val="1159078C"/>
    <w:rsid w:val="11B322D4"/>
    <w:rsid w:val="141E7774"/>
    <w:rsid w:val="152C4D1E"/>
    <w:rsid w:val="175616EA"/>
    <w:rsid w:val="1A6E75F1"/>
    <w:rsid w:val="1B391A9C"/>
    <w:rsid w:val="2AF2473D"/>
    <w:rsid w:val="2C4E2740"/>
    <w:rsid w:val="2DB17BB8"/>
    <w:rsid w:val="2DB52EA1"/>
    <w:rsid w:val="31FFACCE"/>
    <w:rsid w:val="35C3492C"/>
    <w:rsid w:val="363730D6"/>
    <w:rsid w:val="39BFF1A3"/>
    <w:rsid w:val="3A656A79"/>
    <w:rsid w:val="3BFEA355"/>
    <w:rsid w:val="3BFFE0E6"/>
    <w:rsid w:val="3C754555"/>
    <w:rsid w:val="3EBFC942"/>
    <w:rsid w:val="3EFDAFA0"/>
    <w:rsid w:val="44F8241E"/>
    <w:rsid w:val="482E20D9"/>
    <w:rsid w:val="4AF07B1A"/>
    <w:rsid w:val="4E6FE245"/>
    <w:rsid w:val="53754BEA"/>
    <w:rsid w:val="5692612C"/>
    <w:rsid w:val="5AE900E2"/>
    <w:rsid w:val="5C2853C8"/>
    <w:rsid w:val="5FBFD36B"/>
    <w:rsid w:val="5FE7B52B"/>
    <w:rsid w:val="5FF98931"/>
    <w:rsid w:val="61FE479A"/>
    <w:rsid w:val="666F9768"/>
    <w:rsid w:val="67B74B81"/>
    <w:rsid w:val="6A8014CB"/>
    <w:rsid w:val="6CD358E2"/>
    <w:rsid w:val="6CD81D64"/>
    <w:rsid w:val="6D385C30"/>
    <w:rsid w:val="6D7BD30D"/>
    <w:rsid w:val="6F787546"/>
    <w:rsid w:val="730C2768"/>
    <w:rsid w:val="75A8E5AB"/>
    <w:rsid w:val="75F6D4C7"/>
    <w:rsid w:val="7BB7C31E"/>
    <w:rsid w:val="7BF5696C"/>
    <w:rsid w:val="7CFE0DAD"/>
    <w:rsid w:val="7DFACB98"/>
    <w:rsid w:val="7DFDD974"/>
    <w:rsid w:val="7DFF2B53"/>
    <w:rsid w:val="7EDF6237"/>
    <w:rsid w:val="7EF5BC7F"/>
    <w:rsid w:val="7FBE0B2B"/>
    <w:rsid w:val="7FDA1564"/>
    <w:rsid w:val="7FE9FF1B"/>
    <w:rsid w:val="7FFD113B"/>
    <w:rsid w:val="8F6FAE98"/>
    <w:rsid w:val="93FA828F"/>
    <w:rsid w:val="9AFFCD3A"/>
    <w:rsid w:val="9CDEB747"/>
    <w:rsid w:val="A7F7BBCD"/>
    <w:rsid w:val="AB6E488B"/>
    <w:rsid w:val="ADBF3638"/>
    <w:rsid w:val="B5FA0CAB"/>
    <w:rsid w:val="B7BDC7DD"/>
    <w:rsid w:val="B90F156D"/>
    <w:rsid w:val="B9DF117F"/>
    <w:rsid w:val="BA3F8069"/>
    <w:rsid w:val="BCBE8B75"/>
    <w:rsid w:val="BEABCEF2"/>
    <w:rsid w:val="BEF6C197"/>
    <w:rsid w:val="BEFE23ED"/>
    <w:rsid w:val="BF3F2EFC"/>
    <w:rsid w:val="BF5E817B"/>
    <w:rsid w:val="BF7DD18D"/>
    <w:rsid w:val="BFDF1450"/>
    <w:rsid w:val="BFF7E746"/>
    <w:rsid w:val="C87FF18A"/>
    <w:rsid w:val="CDFDB364"/>
    <w:rsid w:val="D6FB8E80"/>
    <w:rsid w:val="DBF7B287"/>
    <w:rsid w:val="DF19687C"/>
    <w:rsid w:val="DFFD24F7"/>
    <w:rsid w:val="E5DFB479"/>
    <w:rsid w:val="E7F71E4D"/>
    <w:rsid w:val="EB6FA5A7"/>
    <w:rsid w:val="EBFD257B"/>
    <w:rsid w:val="ED7F69E3"/>
    <w:rsid w:val="EDD973CD"/>
    <w:rsid w:val="EF5F0240"/>
    <w:rsid w:val="EF5F343A"/>
    <w:rsid w:val="F291C218"/>
    <w:rsid w:val="F5FEA1A6"/>
    <w:rsid w:val="F68D4E0F"/>
    <w:rsid w:val="F7FBA1EB"/>
    <w:rsid w:val="F9FDEB35"/>
    <w:rsid w:val="F9FFFC57"/>
    <w:rsid w:val="FBCBB870"/>
    <w:rsid w:val="FD7873E4"/>
    <w:rsid w:val="FDFE4EF4"/>
    <w:rsid w:val="FE6E1715"/>
    <w:rsid w:val="FEAD20D3"/>
    <w:rsid w:val="FEFF2430"/>
    <w:rsid w:val="FF5A2ED4"/>
    <w:rsid w:val="FF96CCB2"/>
    <w:rsid w:val="FFAC20AB"/>
    <w:rsid w:val="FFBB7F00"/>
    <w:rsid w:val="FFE5A6A1"/>
    <w:rsid w:val="FFEFE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411</Words>
  <Characters>2348</Characters>
  <Lines>19</Lines>
  <Paragraphs>5</Paragraphs>
  <TotalTime>1</TotalTime>
  <ScaleCrop>false</ScaleCrop>
  <LinksUpToDate>false</LinksUpToDate>
  <CharactersWithSpaces>2754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2023-04-09T15:39:00Z</dcterms:created>
  <dc:creator>戴诗雨</dc:creator>
  <cp:lastModifiedBy>拥有彩虹的诗小雨</cp:lastModifiedBy>
  <dcterms:modified xsi:type="dcterms:W3CDTF">2023-10-16T05:42:14Z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46FBDC4FA5F23E7F10AAB46408189D6E_42</vt:lpwstr>
  </property>
</Properties>
</file>