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方正黑体_GBK"/>
          <w:sz w:val="28"/>
          <w:szCs w:val="28"/>
          <w:lang w:val="en"/>
        </w:rPr>
      </w:pPr>
      <w:bookmarkStart w:id="0" w:name="_GoBack"/>
      <w:bookmarkEnd w:id="0"/>
      <w:r>
        <w:rPr>
          <w:rFonts w:hint="eastAsia" w:ascii="宋体" w:hAnsi="宋体" w:cs="方正黑体_GBK"/>
          <w:sz w:val="28"/>
          <w:szCs w:val="28"/>
          <w:lang w:eastAsia="zh-CN"/>
        </w:rPr>
        <w:t>附件</w:t>
      </w:r>
      <w:r>
        <w:rPr>
          <w:rFonts w:hint="eastAsia" w:ascii="宋体" w:hAnsi="宋体" w:cs="方正黑体_GBK"/>
          <w:sz w:val="28"/>
          <w:szCs w:val="28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  <w:t>国家教育部门高等教育学科专业目录网址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（供参考）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  <w:t>、本科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1.《普通高等学校本科专业目录（1998年颁布）》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instrText xml:space="preserve"> HYPERLINK "http://www.moe.gov.cn/srcsite/A08/moe_1034/s3882/199807/t19980706_109699.html"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http://www.moe.gov.cn/srcsite/A08/moe_1034/s3882/199807/t19980706_109699.html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3.《普通高等学校本科专业目录（2020年版）》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instrText xml:space="preserve"> HYPERLINK "http://www.moe.gov.cn/srcsite/A08/moe_1034/s4930/202003/t20200303_426853.html"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http://www.moe.gov.cn/srcsite/A08/moe_1034/s4930/202003/t20200303_426853.html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4.《教育部关于公布2022年度普通高等学校本科专业备案和审批结果的通知》附《普通高等学校本科专业目录》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（增补了至2023年4月发文时近年来批准增设、列入目录的新专业）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http://www.moe.gov.cn/srcsite/A08/moe_1034/s4930/202304/t20230419_1056224.html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《教育部关于公布202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年度普通高等学校本科专业备案和审批结果的通知》附《普通高等学校本科专业目录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（2024）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（增补了至2024年2月发文时近年来批准增设、列入目录的新专业）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" w:eastAsia="zh-CN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http://www.moe.gov.cn/srcsite/A08/moe_1034/s4930/202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0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/t202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0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19_1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121111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.html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、研究生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http://www.moe.gov.cn/srcsite/A22/moe_833/201103/t20110308_116439.html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《关于增设网络空间安全一级学科的通知》（学位〔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78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tongzhi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511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51127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221423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4.《关于对工程专业学位类别进行调整的通知》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yjss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/moe_8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18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201803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26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331244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学位授予和人才培养学科目录（2018年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4月更新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《国务院学位委员会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教育部关于设置“交叉学科”门类、“集成电路科学与工程”和“国家安全学”一级学科的通知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30号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yjss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xwsy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202101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210113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509633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27"/>
          <w:szCs w:val="27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8.《交叉学科设置与管理办法（试行）》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s7065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202112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211203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584501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27"/>
          <w:szCs w:val="27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9.《研究生教育学科专业目录（2022年）》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http://www.moe.gov.cn/srcsite/A22/moe_833/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202209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220914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660828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   </w:t>
      </w: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>注：个别年份新增专业可在教育部官网检索相关信息。</w:t>
      </w:r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72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77DFA98"/>
    <w:rsid w:val="1FFB6BF2"/>
    <w:rsid w:val="1FFEFEED"/>
    <w:rsid w:val="24D47A02"/>
    <w:rsid w:val="26BD75E6"/>
    <w:rsid w:val="37D55A4D"/>
    <w:rsid w:val="37EF321E"/>
    <w:rsid w:val="37F6F471"/>
    <w:rsid w:val="3C9F3261"/>
    <w:rsid w:val="3DDBC8CE"/>
    <w:rsid w:val="3F4FDCCB"/>
    <w:rsid w:val="3F9F5BA9"/>
    <w:rsid w:val="42586BF0"/>
    <w:rsid w:val="4BAEE006"/>
    <w:rsid w:val="4FDFD3B8"/>
    <w:rsid w:val="51FED7AB"/>
    <w:rsid w:val="577344A0"/>
    <w:rsid w:val="57F7FD4F"/>
    <w:rsid w:val="5EDC08F6"/>
    <w:rsid w:val="5EFA7CCD"/>
    <w:rsid w:val="5FC30FC5"/>
    <w:rsid w:val="5FCBB166"/>
    <w:rsid w:val="667390D1"/>
    <w:rsid w:val="6867B024"/>
    <w:rsid w:val="6CFEA0C4"/>
    <w:rsid w:val="6E7FAC10"/>
    <w:rsid w:val="6FBF1B8A"/>
    <w:rsid w:val="6FEE3652"/>
    <w:rsid w:val="7189ADC5"/>
    <w:rsid w:val="71ECF9F9"/>
    <w:rsid w:val="749F5F99"/>
    <w:rsid w:val="75B501C9"/>
    <w:rsid w:val="771C95E9"/>
    <w:rsid w:val="7725DA1D"/>
    <w:rsid w:val="77550C14"/>
    <w:rsid w:val="77EF26ED"/>
    <w:rsid w:val="785704F0"/>
    <w:rsid w:val="785F4246"/>
    <w:rsid w:val="79B5D6A6"/>
    <w:rsid w:val="79E7B957"/>
    <w:rsid w:val="7BF138EE"/>
    <w:rsid w:val="7BFF260E"/>
    <w:rsid w:val="7BFF2C81"/>
    <w:rsid w:val="7D5E7FCF"/>
    <w:rsid w:val="7DCE006E"/>
    <w:rsid w:val="7E4DAD58"/>
    <w:rsid w:val="7EEE507E"/>
    <w:rsid w:val="7EEFA1B4"/>
    <w:rsid w:val="7F7D58EC"/>
    <w:rsid w:val="7FFB5982"/>
    <w:rsid w:val="7FFD0420"/>
    <w:rsid w:val="8F4E69B1"/>
    <w:rsid w:val="9D4B5CFF"/>
    <w:rsid w:val="AFD5BDC2"/>
    <w:rsid w:val="AFFFA8C0"/>
    <w:rsid w:val="B2FDBBDA"/>
    <w:rsid w:val="B7A8A7F8"/>
    <w:rsid w:val="BA3B7EC3"/>
    <w:rsid w:val="BA7B23C6"/>
    <w:rsid w:val="BC7F5829"/>
    <w:rsid w:val="BDFAF9DC"/>
    <w:rsid w:val="BDFB1AAD"/>
    <w:rsid w:val="BFB61A13"/>
    <w:rsid w:val="BFBFDD0E"/>
    <w:rsid w:val="CEBA0F01"/>
    <w:rsid w:val="CFFA21C9"/>
    <w:rsid w:val="D7CFB6EE"/>
    <w:rsid w:val="D7DF1FDE"/>
    <w:rsid w:val="D8F681B2"/>
    <w:rsid w:val="DE7FAEA9"/>
    <w:rsid w:val="DFDD8C42"/>
    <w:rsid w:val="DFEF0388"/>
    <w:rsid w:val="E57E40A9"/>
    <w:rsid w:val="E76EA17D"/>
    <w:rsid w:val="E79B7475"/>
    <w:rsid w:val="EBF80E14"/>
    <w:rsid w:val="ED9C50A7"/>
    <w:rsid w:val="EDDC9CF9"/>
    <w:rsid w:val="EF75E4A2"/>
    <w:rsid w:val="F0DBA06D"/>
    <w:rsid w:val="F4DBEA25"/>
    <w:rsid w:val="F5BB005D"/>
    <w:rsid w:val="F69E5E5E"/>
    <w:rsid w:val="F71B9179"/>
    <w:rsid w:val="F7FA5037"/>
    <w:rsid w:val="F7FF4FA3"/>
    <w:rsid w:val="F8DDE310"/>
    <w:rsid w:val="F9F14895"/>
    <w:rsid w:val="FAF9BBB2"/>
    <w:rsid w:val="FAFFCD7E"/>
    <w:rsid w:val="FBDFC6BA"/>
    <w:rsid w:val="FDF61BF9"/>
    <w:rsid w:val="FE734873"/>
    <w:rsid w:val="FEF752AB"/>
    <w:rsid w:val="FFB67501"/>
    <w:rsid w:val="FFDE3635"/>
    <w:rsid w:val="FFEFD946"/>
    <w:rsid w:val="FFFD2D15"/>
    <w:rsid w:val="FFFDF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3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4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6"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440</Words>
  <Characters>2514</Characters>
  <Lines>1</Lines>
  <Paragraphs>1</Paragraphs>
  <TotalTime>6.33333333333333</TotalTime>
  <ScaleCrop>false</ScaleCrop>
  <LinksUpToDate>false</LinksUpToDate>
  <CharactersWithSpaces>2949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2019-08-21T22:54:00Z</dcterms:created>
  <dc:creator>微软用户</dc:creator>
  <cp:lastModifiedBy>zzb330</cp:lastModifiedBy>
  <cp:lastPrinted>2024-01-06T07:06:04Z</cp:lastPrinted>
  <dcterms:modified xsi:type="dcterms:W3CDTF">2024-10-29T07:27:37Z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C61BD87841B5884BDB12DC6623A49E16</vt:lpwstr>
  </property>
</Properties>
</file>